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Open Sans" w:cs="Open Sans" w:eastAsia="Open Sans" w:hAnsi="Open Sans"/>
          <w:b w:val="1"/>
          <w:smallCaps w:val="1"/>
          <w:color w:val="013d82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0" distT="0" distL="0" distR="0">
            <wp:extent cx="1567928" cy="550469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7928" cy="5504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smallCaps w:val="1"/>
          <w:color w:val="013d82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mallCaps w:val="1"/>
          <w:color w:val="013d82"/>
          <w:sz w:val="28"/>
          <w:szCs w:val="28"/>
          <w:rtl w:val="0"/>
        </w:rPr>
        <w:t xml:space="preserve">Wzór Planu działań komunikacyjnych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 Planie działań komunikacyjnych należy zawrzeć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wyczerpujące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odpowiedzi dotyczą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ce 6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poniższych zagadnień.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Główne cele komunikacyjne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czyli o czym Wnioskodawca chce informować i w jakim celu?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Celem działań komunikacyjnych może być np. zachęcenie do uczestnictwa w działaniach projektowych, uświadomienie problemu, którym Wnioskodawca chce się zająć, przedstawienie prowadzonych w projekcie działań i osiągnięć, upowszechnienie/nagłośnienie efektów prowadzonych działań, itd.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Grupy docelowe, czyli kto ma być odbiorcą informacji?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Grupą docelową mogą być potencjalni uczestnicy projektu, odbiorcy planowanych działań, osoby i instytucje, które mogą skorzystać z jego efektów, lokalna społeczność, władze samorządowe, centralne, instytucje publiczne, grupy środowiskowe, media branżowe, lokalne, regionalne, ogólnopolskie etc.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planowanych działań i narzędzi komunikacyjnych wraz z harmonogramem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Działaniem informacyjnym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może być organizacja różnego typu wydarzeń, np. spotkanie prezentujące projekt lub organizacja stoiska informacyjnego podczas branżowych wydarzeń, spotkanie z przedstawicielami społeczności, do której adresowany jest projekt, briefing dla mediów, a także informowanie o prowadzonych działaniach i ich efektach w mediach tradycyjnych, na stronie internetowej, mediach społecznościowych.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Narzędziami komunikacji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może być np. strona internetowa lub podstrona o projekcie na stronie Wnioskodawcy, prowadzenie profilu w mediach społecznościowych (np. Facebook, Twitter, Instagram, YouTube, inne), artykuły, ogłoszenia w prasie, newsletter, mailing do osób i instytucji zainteresowanych podejmowaną problematyką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Harmonogram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to orientacyjne terminy przeprowadzenia działań, w tym planowany termin organizacji wydarzenia informującego o celach, przebiegu, efektach działań prowadzonych w projekcie, termin uruchomienia strony internetowej o projekcie czy terminy upowszechniania informacji o kluczowych wydarzeniach/ działaniach w projekcie. 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Sposoby ewaluacji działań komunikacyjnych w projekcie, czyli jak mierzona będzie skuteczność dotarcia z informacją do grup docelowych </w:t>
      </w:r>
    </w:p>
    <w:p w:rsidR="00000000" w:rsidDel="00000000" w:rsidP="00000000" w:rsidRDefault="00000000" w:rsidRPr="00000000" w14:paraId="0000000F">
      <w:pPr>
        <w:ind w:left="142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Miarą skuteczności dotarcia do grup docelowych mogą być m.in. statystyki wejść na stronę internetową projektu, osiągnięcie planowanej liczby uczestników w wydarzeniach informacyjnych, liczba obserwujących w mediach społecznościowych, liczba artykułów, audycji czy publikacji w Internecie, w których mowa będzie o projekcie i/lub jego efektach.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oraz kontakt mailowy i telefoniczny do osoby zajmującej się informacją i komunikacją w projekcie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Podsumowanie 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Wymagania zapisane w „Podręczniku dla Wnioskodawców i Grantobiorców”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Założenia w Planie działań komunikacyjnych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Proszę wymienić i krótko opisać 2 obowiązkowe wydarzenia informujące o projekcie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Proszę wskazać i krótko opisać główny kanał komunikacji w projekcie (strona www projektu lub podstrona na stronie internetowej Grantobiorcy, lub profil projektu w mediach społecznościowych*</w:t>
            </w:r>
          </w:p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Czy został przewidziany budżet na działania komunikacyjne** (TAK/NIE. Jeśli TAK, proszę podać kwotę.)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Najważniejsze wytyczne dot. przygotowania i realizacji Planu działań komunikacyjnych (pełny opis wymagań znajduje się w </w:t>
      </w:r>
      <w:hyperlink r:id="rId8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u w:val="single"/>
            <w:rtl w:val="0"/>
          </w:rPr>
          <w:t xml:space="preserve">„Podręczniku dla Wnioskodawców i Granotobiorców</w:t>
        </w:r>
      </w:hyperlink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” w rozdz. 9. „Działania informacyjno-promocyjne”): </w:t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*Grantobiorca ma obowiązek udostępniać informacje o projekcie w Internecie: na stronie internetowej poświęconej projektowi lub na podstronie projektu na stronie internetowej Grantobiorcy lub – w przypadku, gdy Grantobiorca nie posiada strony internetowej – na profilu projektu w mediach społecznościowych.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Koszty realizacji Planu stanowią koszty bezpośrednie projektu i powinny być uwzględnione w jego budżecie.</w:t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Grantobiorca, a w przypadku projektów realizowanych w partnerstwie również Partner/Partnerzy, zobowiązany jest do informowania o wsparciu działań prowadzonych w ramach projektu z programu Aktywni Obywatele – Fundusz Krajowy, finansowanych z Funduszy EOG, a w szczególności do: zamieszczania logotypu Active Citizens Fund wraz z  formułą: 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rtl w:val="0"/>
        </w:rPr>
        <w:t xml:space="preserve">Projekt realizowany z dotacji programu Aktywni Obywatele – Fundusz Krajow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y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rtl w:val="0"/>
        </w:rPr>
        <w:t xml:space="preserve"> finansowanego z Funduszy Norweskich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w materiałach informacyjnych i promocyjnych oraz materiałach powstających w ramach projektu.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445C7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D64C0D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D64C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96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962B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96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962B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962B4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962B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962B4"/>
    <w:rPr>
      <w:rFonts w:ascii="Segoe UI" w:cs="Segoe UI" w:hAnsi="Segoe UI"/>
      <w:sz w:val="18"/>
      <w:szCs w:val="18"/>
    </w:rPr>
  </w:style>
  <w:style w:type="character" w:styleId="tl8wme" w:customStyle="1">
    <w:name w:val="tl8wme"/>
    <w:basedOn w:val="Domylnaczcionkaakapitu"/>
    <w:rsid w:val="001A745E"/>
  </w:style>
  <w:style w:type="character" w:styleId="Hipercze">
    <w:name w:val="Hyperlink"/>
    <w:basedOn w:val="Domylnaczcionkaakapitu"/>
    <w:uiPriority w:val="99"/>
    <w:unhideWhenUsed w:val="1"/>
    <w:rsid w:val="00FD13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FD138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ywniobywatele.org.pl/dla-wnioskodawcow/konkurs-media-dla-demokracji/" TargetMode="Externa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p5I1DW9PcQo0QHL5oiXWzldtg==">AMUW2mVo4/N7fwWBjEEn35/4Aq4V5B9rXvcQ7+EjVPL9N7J67xtW8abtxv9AZh3HUPHJDfRQ7V3VN7SkZ9jZyf0GcbxPzkiAroMZJNhwV3NZUS6qtMeHNdU=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F5F147F61EF43A1B7EDDCCCC1771B" ma:contentTypeVersion="16" ma:contentTypeDescription="Utwórz nowy dokument." ma:contentTypeScope="" ma:versionID="45caf6ee6a35163f409130b59ced6c09">
  <xsd:schema xmlns:xsd="http://www.w3.org/2001/XMLSchema" xmlns:xs="http://www.w3.org/2001/XMLSchema" xmlns:p="http://schemas.microsoft.com/office/2006/metadata/properties" xmlns:ns2="5c3b8e07-c789-470f-b44d-133a3a3aa559" xmlns:ns3="7fbf7210-cafe-4a0b-8507-b0b4e5040684" targetNamespace="http://schemas.microsoft.com/office/2006/metadata/properties" ma:root="true" ma:fieldsID="0cce0d124b296e4f79a71fd618705a26" ns2:_="" ns3:_="">
    <xsd:import namespace="5c3b8e07-c789-470f-b44d-133a3a3aa559"/>
    <xsd:import namespace="7fbf7210-cafe-4a0b-8507-b0b4e5040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8e07-c789-470f-b44d-133a3a3aa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7210-cafe-4a0b-8507-b0b4e5040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037c7-39a5-4372-95a5-a509c5569219}" ma:internalName="TaxCatchAll" ma:showField="CatchAllData" ma:web="7fbf7210-cafe-4a0b-8507-b0b4e5040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131C232-6777-40E7-8946-5F30580AE9DA}"/>
</file>

<file path=customXML/itemProps3.xml><?xml version="1.0" encoding="utf-8"?>
<ds:datastoreItem xmlns:ds="http://schemas.openxmlformats.org/officeDocument/2006/customXml" ds:itemID="{2CCAA3BC-A794-4894-9FCC-E5DE77ACE9F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2021-03-12T09:24:00Z</dcterms:created>
  <dc:creator>APK</dc:creator>
</cp:coreProperties>
</file>